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</w:rPr>
      </w:pPr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 xml:space="preserve">PIENEN POROTEURASTAMON TOIMINTAOHJE EPÄILTÄESSÄ TARTTUVAA ELÄINTAUTIA </w:t>
      </w:r>
    </w:p>
    <w:p w:rsidR="009D3FD2" w:rsidRDefault="009D3F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</w:rPr>
      </w:pP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Porojen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tarkastaminen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ennen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teurastamolle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tuontia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niiden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terveyttä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käyttäytymistä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seurataan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poikkeuksetta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kaikkien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tuotavien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teuraserien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kohdalla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tuodaan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yleensä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poroerotuksesta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Poroille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voitu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tehdä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elävänä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tarkastus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poroerotuspaikalla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jolloin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siitä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laadittu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muakan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tuleva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terveystodistus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Poroerotuspaikalla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tehty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elävänä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tarkastus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täydennetään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poroteurastamolla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tehtävällä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terveydentilaa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koskevalla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seulontatutkimuksella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Jos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poroilla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ole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poroerotuspaikalla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tehtyä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elävänä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tarkastusta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koskevaa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terveystodistusta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tehdään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niille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elävänä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tarkastus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poroteurastamolla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ennen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kuin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hyväksytään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teurastettavaksi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Toisesta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jäsenmaasta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tuotavilla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teurasporoilla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sisämarkkinakauppaa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koskevien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säännösten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mukainen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terveystodistus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Lisäksi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poroteurastamolle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tuotavia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varten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toimitetaan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viimeistään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mukana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ketjuinformaatiolomake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ilmoitetaan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tautitilannetta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eläintautilain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mukaisia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rajoituksia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koskevat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tiedot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Pääsääntöisesti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poikkeustekijät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havaitaan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siis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erotuksessa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mutta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että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tarttuvaa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eläintautia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kantava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poro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päätyy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Eläinkuljetukset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poroteurastamojen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osalta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käsittää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kuljetukset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paliskunnan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erotuspaikalta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Kuljetukset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ovat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pääasiassa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lyhyitä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muihin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teurastamoihin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poiketen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poroteurastamoiden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eläintenkuljetusautoilla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kuljeta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lukuisilla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eri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alkutuotantopaikoilla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9D3F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Porot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teurastamon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lepuutusaidassa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Mikäli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tuotavissa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poroissa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niiden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terveydessä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käyttäytymisessä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havaitaan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sellaista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normaalista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poikkeavuutta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että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epäillä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jotain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tarttuvaa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tautia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ilmoitetaan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asiasta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välittömästi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laitosta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valvovalle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viranomaiselle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(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tarkastuseläinlääkäri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ja/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läänineläinlääkäri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)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sille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viranomaiselle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joka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vuorokauden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ajasta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riippuen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tavoitettavissa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(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paikallinen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päivystävä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eläinlääkäri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).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Tiedotuksesta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vastaavat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esimiehet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Tärkeintä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että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asiaan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reagoidaan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välittömästi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asia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saatetaan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eläintaudit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tunnistavan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virka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eläinlääkärin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arvioitavaksi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9D3F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ruokitaan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juotetaan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normaalisti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mutta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terveydetilaa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käyytäytymistä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seurataan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tehostetusti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vasojen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mahdollisuus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karkaamiseen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aidasta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estettävä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28"/>
          <w:szCs w:val="28"/>
        </w:rPr>
      </w:pPr>
      <w:proofErr w:type="spellStart"/>
      <w:r>
        <w:rPr>
          <w:b/>
          <w:bCs/>
          <w:kern w:val="0"/>
          <w:sz w:val="28"/>
          <w:szCs w:val="28"/>
        </w:rPr>
        <w:t>Paikallisen</w:t>
      </w:r>
      <w:proofErr w:type="spellEnd"/>
      <w:r>
        <w:rPr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b/>
          <w:bCs/>
          <w:kern w:val="0"/>
          <w:sz w:val="28"/>
          <w:szCs w:val="28"/>
        </w:rPr>
        <w:t>eläinlääkärin</w:t>
      </w:r>
      <w:proofErr w:type="spellEnd"/>
      <w:r>
        <w:rPr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b/>
          <w:bCs/>
          <w:kern w:val="0"/>
          <w:sz w:val="28"/>
          <w:szCs w:val="28"/>
        </w:rPr>
        <w:t>päivystysnumero</w:t>
      </w:r>
      <w:proofErr w:type="spellEnd"/>
      <w:r>
        <w:rPr>
          <w:b/>
          <w:bCs/>
          <w:kern w:val="0"/>
          <w:sz w:val="28"/>
          <w:szCs w:val="28"/>
        </w:rPr>
        <w:t xml:space="preserve">: </w:t>
      </w:r>
      <w:r>
        <w:rPr>
          <w:b/>
          <w:bCs/>
          <w:sz w:val="28"/>
          <w:szCs w:val="28"/>
          <w:shd w:val="clear" w:color="auto" w:fill="FFFFFF"/>
        </w:rPr>
        <w:t>XXXXXXXX</w:t>
      </w: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</w:pPr>
      <w:proofErr w:type="spellStart"/>
      <w:r>
        <w:rPr>
          <w:b/>
          <w:bCs/>
          <w:kern w:val="0"/>
          <w:sz w:val="28"/>
          <w:szCs w:val="28"/>
        </w:rPr>
        <w:t>Laitoksen</w:t>
      </w:r>
      <w:proofErr w:type="spellEnd"/>
      <w:r>
        <w:rPr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b/>
          <w:bCs/>
          <w:kern w:val="0"/>
          <w:sz w:val="28"/>
          <w:szCs w:val="28"/>
        </w:rPr>
        <w:t>tarkastuseläinlääkäri</w:t>
      </w:r>
      <w:proofErr w:type="spellEnd"/>
      <w:r>
        <w:rPr>
          <w:b/>
          <w:bCs/>
          <w:kern w:val="0"/>
          <w:sz w:val="28"/>
          <w:szCs w:val="28"/>
        </w:rPr>
        <w:t xml:space="preserve">: NIMI, </w:t>
      </w:r>
      <w:proofErr w:type="spellStart"/>
      <w:proofErr w:type="gramStart"/>
      <w:r>
        <w:rPr>
          <w:b/>
          <w:bCs/>
          <w:kern w:val="0"/>
          <w:sz w:val="28"/>
          <w:szCs w:val="28"/>
        </w:rPr>
        <w:t>puh.XXXXXXXX</w:t>
      </w:r>
      <w:proofErr w:type="spellEnd"/>
      <w:proofErr w:type="gramEnd"/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>Lapin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>aluehallintovirasto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>eläintautiasioissa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>läänineläinlääkäri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>Pirkko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>Pirinen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>puh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0295 017 377, </w:t>
      </w:r>
      <w:proofErr w:type="spellStart"/>
      <w:r>
        <w:rPr>
          <w:b/>
          <w:bCs/>
          <w:sz w:val="28"/>
          <w:szCs w:val="28"/>
        </w:rPr>
        <w:t>keskus</w:t>
      </w:r>
      <w:proofErr w:type="spellEnd"/>
      <w:r>
        <w:rPr>
          <w:b/>
          <w:bCs/>
          <w:sz w:val="28"/>
          <w:szCs w:val="28"/>
        </w:rPr>
        <w:t xml:space="preserve"> 0295 017 300</w:t>
      </w: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Pohjois-Suomen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aluehallintovirasto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eläintautiasioissa</w:t>
      </w:r>
      <w:proofErr w:type="spellEnd"/>
      <w:r>
        <w:rPr>
          <w:b/>
          <w:bCs/>
          <w:sz w:val="28"/>
          <w:szCs w:val="28"/>
        </w:rPr>
        <w:t xml:space="preserve"> läänineläinlää</w:t>
      </w:r>
      <w:r w:rsidR="00480B06">
        <w:rPr>
          <w:b/>
          <w:bCs/>
          <w:sz w:val="28"/>
          <w:szCs w:val="28"/>
        </w:rPr>
        <w:t>kä</w:t>
      </w:r>
      <w:bookmarkStart w:id="0" w:name="_GoBack"/>
      <w:bookmarkEnd w:id="0"/>
      <w:r>
        <w:rPr>
          <w:b/>
          <w:bCs/>
          <w:sz w:val="28"/>
          <w:szCs w:val="28"/>
        </w:rPr>
        <w:t xml:space="preserve">ri Hanna </w:t>
      </w:r>
      <w:proofErr w:type="spellStart"/>
      <w:r>
        <w:rPr>
          <w:b/>
          <w:bCs/>
          <w:sz w:val="28"/>
          <w:szCs w:val="28"/>
        </w:rPr>
        <w:t>Lounela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puh</w:t>
      </w:r>
      <w:proofErr w:type="spellEnd"/>
      <w:r>
        <w:rPr>
          <w:b/>
          <w:bCs/>
          <w:sz w:val="28"/>
          <w:szCs w:val="28"/>
        </w:rPr>
        <w:t xml:space="preserve">. 0295 017 579, </w:t>
      </w:r>
      <w:proofErr w:type="spellStart"/>
      <w:r>
        <w:rPr>
          <w:b/>
          <w:bCs/>
          <w:sz w:val="28"/>
          <w:szCs w:val="28"/>
        </w:rPr>
        <w:t>keskus</w:t>
      </w:r>
      <w:proofErr w:type="spellEnd"/>
      <w:r>
        <w:rPr>
          <w:b/>
          <w:bCs/>
          <w:sz w:val="28"/>
          <w:szCs w:val="28"/>
        </w:rPr>
        <w:t xml:space="preserve"> 0295017500</w:t>
      </w: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b/>
          <w:bCs/>
          <w:sz w:val="28"/>
          <w:szCs w:val="28"/>
        </w:rPr>
        <w:t>Virka</w:t>
      </w:r>
      <w:proofErr w:type="spellEnd"/>
      <w:r>
        <w:rPr>
          <w:b/>
          <w:bCs/>
          <w:sz w:val="28"/>
          <w:szCs w:val="28"/>
        </w:rPr>
        <w:t xml:space="preserve">-ajan </w:t>
      </w:r>
      <w:proofErr w:type="spellStart"/>
      <w:r>
        <w:rPr>
          <w:b/>
          <w:bCs/>
          <w:sz w:val="28"/>
          <w:szCs w:val="28"/>
        </w:rPr>
        <w:t>ulkopuolella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päivystävä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läänineläinlääkäri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puh</w:t>
      </w:r>
      <w:proofErr w:type="spellEnd"/>
      <w:r>
        <w:rPr>
          <w:b/>
          <w:bCs/>
          <w:sz w:val="28"/>
          <w:szCs w:val="28"/>
        </w:rPr>
        <w:t>. 0295 304 340</w:t>
      </w:r>
    </w:p>
    <w:p w:rsidR="009D3FD2" w:rsidRDefault="009D3FD2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Toiminta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mikäli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teurastusta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ei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ole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aloitettu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F64BB0">
      <w:pPr>
        <w:pStyle w:val="Oletus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Havaittujen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epäkohtien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korjaamisessa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noudatetaan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viranomaisilta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saatuja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ohjeita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neuvoja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Seuraaviin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toimenpiteisiin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ryhdytään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välittömästi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vaikka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ole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vielä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tavoitettu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: 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rFonts w:ascii="TimesNewRomanPSMT" w:eastAsia="TimesNewRomanPSMT" w:hAnsi="TimesNewRomanPSMT" w:cs="TimesNewRomanPSMT"/>
          <w:kern w:val="0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Epäilyttävästi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käyttäytyvä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poro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selkeästi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sairas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poro (jota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epäillä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tarttuvasta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eläintaudista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)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eristetään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eläimistä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F64BB0">
      <w:pPr>
        <w:pStyle w:val="Oletus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rFonts w:ascii="TimesNewRomanPSMT" w:eastAsia="TimesNewRomanPSMT" w:hAnsi="TimesNewRomanPSMT" w:cs="TimesNewRomanPSMT"/>
          <w:b/>
          <w:bCs/>
          <w:kern w:val="0"/>
          <w:u w:val="single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käyttäytymistä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hyvinvointia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seurataan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tehostetusti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F64BB0">
      <w:pPr>
        <w:pStyle w:val="Oletus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rFonts w:ascii="TimesNewRomanPSMT" w:eastAsia="TimesNewRomanPSMT" w:hAnsi="TimesNewRomanPSMT" w:cs="TimesNewRomanPSMT"/>
          <w:kern w:val="0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Teurastusta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ei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missään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tapauksessa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aloiteta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ennen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kuin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elänlääkäri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on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antanut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luvan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.</w:t>
      </w:r>
    </w:p>
    <w:p w:rsidR="009D3FD2" w:rsidRDefault="00F64BB0">
      <w:pPr>
        <w:pStyle w:val="Oletus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rFonts w:ascii="TimesNewRomanPSMT" w:eastAsia="TimesNewRomanPSMT" w:hAnsi="TimesNewRomanPSMT" w:cs="TimesNewRomanPSMT"/>
          <w:kern w:val="0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Rajoitetaan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ulkopuolisten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pääsy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teurastamoalueelle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Helposti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leviävää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eläintautia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epäiltäessä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rajoitetaan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myös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ihmisten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ajoneuvojen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poispääsyä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teurastamoalueelta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Henkilödesinfektiosta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autojen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desinfionnista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sovitaan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tarkastuseläinlääkärin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kanssa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Toiminta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jos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teurastus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on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käynnissä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Mikäli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poro, jota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epäillään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tarttuvasta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eläintaudista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päässyt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teurastuslinjalle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epäilty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eristetään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lastRenderedPageBreak/>
        <w:t>Uusia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oteta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missään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tapauksessa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lopettavaksi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teurastettavaksi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keskeytetään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rPr>
          <w:rFonts w:ascii="TimesNewRomanPSMT" w:eastAsia="TimesNewRomanPSMT" w:hAnsi="TimesNewRomanPSMT" w:cs="TimesNewRomanPSMT"/>
          <w:kern w:val="0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Varmistetaan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että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epäilty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teurastettu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pääse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kosketuksiin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teurastettujen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oletettavasti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terveiden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kanssa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F64BB0">
      <w:pPr>
        <w:pStyle w:val="Oletus"/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rPr>
          <w:rFonts w:ascii="TimesNewRomanPSMT" w:eastAsia="TimesNewRomanPSMT" w:hAnsi="TimesNewRomanPSMT" w:cs="TimesNewRomanPSMT"/>
          <w:kern w:val="0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henkilökunnan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huolehdittava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että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likaisilla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työvaatteilla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-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välineillä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(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tartuntariskimateriaali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)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saastuteta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ennemmin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teurastettuja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mahdollisesti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puhtaita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Tartuntariskimateriaali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tulee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riisua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kerätä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sille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osoitettuun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paikkaan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F64BB0">
      <w:pPr>
        <w:pStyle w:val="Oletus"/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rPr>
          <w:rFonts w:ascii="TimesNewRomanPSMT" w:eastAsia="TimesNewRomanPSMT" w:hAnsi="TimesNewRomanPSMT" w:cs="TimesNewRomanPSMT"/>
          <w:kern w:val="0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Mikäli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tarttuvasta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eläintaudista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epäiltyjä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puhtaita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päässyt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sekaisin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ruhojäähdyttämöön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ruveta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enää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siirtelemään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ruhojäähdyttämöstä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koko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jäähdyttämö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eristetään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keskeytetään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joka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tapauksessa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vaikka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tarttuvasta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eläintaudista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epäiltyjä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poroja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ole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päässyt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teurastuslinjalle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Tämän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jälkeen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edetään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tarkastuseläinlääkärin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/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läänineläinlääkärin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antamien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ohjeiden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mukaan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Toiminta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epäiltäessä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erittäin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helposti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leviävää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eläintautia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Epäiltäessä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helposti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leviävää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eläintautia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(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kuten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suu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sorkkatautia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)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syytä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ryhtyä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erityisiin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toimenpiteisiin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Tällöin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edellä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mainittujen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ohjeiden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lisäki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myös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henkilökunnan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pääsyä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teurastamolta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pois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tulee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myös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rajoittaa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taudin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leviämisen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ehkäisemiseksi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Myös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tartuntariskimateriaalin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liikkumista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tulee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rajoittaa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Mahdollisesti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saastuneet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työvälineet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vaatteet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tulee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riisua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niille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osoitettuun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erityiseen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paikkaan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Tälläinen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paikka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tulee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olla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mietittynä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valmiiksi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jokaiselle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Paikan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määrittämisestä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vastaa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esimies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yhdessä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tarkastuseläinlääkärin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kanssa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Näytteenotto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ruhojen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jatkokäsittely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Eläimistä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näytteet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tarkempaa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tutkimusta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varten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mikäli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helposti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leviävää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tartuntatautia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syytä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epäillä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Näytteenoton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tarpeellisuudesta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itse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näytteenotosta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näytteiden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analysointiin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toimittamisesta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vastaa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eläinlääkäri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Tämän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jälkeen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arvioidaan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toimintatavat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jatkokäsittelyyn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ole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aiheellista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kuitenkaan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hävittää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pelkän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epäilyn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takia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tärkeintä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keskittyä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ehkäisemään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mahdollisuus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epäillyn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taruntataudin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leviämiseen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i/>
          <w:iCs/>
          <w:kern w:val="0"/>
          <w:sz w:val="22"/>
          <w:szCs w:val="22"/>
          <w:u w:val="single"/>
        </w:rPr>
        <w:t>Tartuntatautitapauksessa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ruhonosat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elimet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hävitetään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viranomainen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määrää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kyseisen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määräyksen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mukaisesti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lopettamisesta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määrää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Evira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Puhdistus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desinfiointi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sekä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teurastamon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uudelleenkäyttöönotto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Mikäli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todetaan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helposti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tarttuva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tulee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puhdistaa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desinfioida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huolellisesti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ennen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laitoksen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uudelleenkäyttöönottoa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Lisäksi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selvitettään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eläinlääkäriltä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kyseisen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eläintaudin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leviämismekanismit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leviämisen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herkkyys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Tarvittaessa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ryhdytään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asianmukaisiin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toimiin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lepuutusaitauksien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puhdistuksen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suhteen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Myös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todetun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tartuntataudin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luonteesta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riippuen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tilanne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voi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vaatia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valvovan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jälkitarkastuksen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/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näytteenoton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/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hyväksynnän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teurastamotilojen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käyttöönottamiseksi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desinfioinnin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jälkeen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Tarve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keskustellaan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tapauskohtaisesti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valvonvan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kanssa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Tarpeen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määrittämisestä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vastaa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valvova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viranomainen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Puhdistus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desinfiointi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tehdään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ohjeiden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mukaisesti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Teurastamon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puhdistus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desinfiointiohjeet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Teurastamotilat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-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laitteet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pestään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desinfioidaan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normaalisti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omavalvontasuunnitelmassa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esitettyjen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puhdistusohjeiden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mukaisesti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Mikäli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todettu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tunnistettu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tarttuva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eläintauti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mikä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vaatii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erityiset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puhdistus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-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desinfiointitoimet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niin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asiaa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ohjaa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asian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parhaiten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ymmärtävä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taho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eli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valvova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viranomainen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Eläintenkuljetusauton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puhdistus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desinfiointiohjeet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Kuten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yllä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teurastamotilojen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osalta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Viestintä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mahdollinen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takaisinveto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tiedottaminen</w:t>
      </w:r>
      <w:proofErr w:type="spellEnd"/>
      <w:r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  <w:t>: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b/>
          <w:bCs/>
          <w:kern w:val="0"/>
          <w:sz w:val="22"/>
          <w:szCs w:val="22"/>
          <w:u w:val="single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Tarvittaessa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epäkohdista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tiedotetaan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ostajalle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ryhdytään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toimiin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lähteneiden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ruhojen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takaisinvetämiseksi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Takaisinvedon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toteuttamiseksi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tarvittavat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tiedot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saadaan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rahtikirjoista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Takaisinvedon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toteuttamisesta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vastaavat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esimies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laitoksen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valvoja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  <w:r>
        <w:rPr>
          <w:rFonts w:ascii="TimesNewRomanPSMT" w:eastAsia="TimesNewRomanPSMT" w:hAnsi="TimesNewRomanPSMT" w:cs="TimesNewRomanPSMT"/>
          <w:kern w:val="0"/>
          <w:sz w:val="22"/>
          <w:szCs w:val="22"/>
          <w:u w:val="single"/>
        </w:rPr>
        <w:t>TARTUNTATAUTIEPÄILYSSÄ ASIASTA SAAVAT VIESTIÄ VAIN SIIHEN NIMETYT HENKILÖT.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  <w:shd w:val="clear" w:color="auto" w:fill="FFFF00"/>
        </w:rPr>
      </w:pP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Jokaisen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omalta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osaltaan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huolehdittava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että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teurastamolla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työskentelevä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henkilökunta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perehtynyt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omavalvontaan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sen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liitteisiin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myös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huolehdittava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tietotaidon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ylläpitämisestä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miten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hoidetaan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sisäinen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viestintä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sekä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tiedotus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mahdollisessa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epäilytapauksessa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Henkilökunta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perehdytetään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toimintatapoihin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Toimintaohjeet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sisäisestä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viestinnästä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tiedottamisesta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löytyvät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teurastamon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>omavalvontasuunnitelmasta</w:t>
      </w:r>
      <w:proofErr w:type="spellEnd"/>
      <w:r>
        <w:rPr>
          <w:rFonts w:ascii="TimesNewRomanPSMT" w:eastAsia="TimesNewRomanPSMT" w:hAnsi="TimesNewRomanPSMT" w:cs="TimesNewRomanPSMT"/>
          <w:kern w:val="0"/>
          <w:sz w:val="22"/>
          <w:szCs w:val="22"/>
        </w:rPr>
        <w:t xml:space="preserve">. 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  <w:shd w:val="clear" w:color="auto" w:fill="FFFF00"/>
        </w:rPr>
      </w:pP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kern w:val="0"/>
          <w:sz w:val="22"/>
          <w:szCs w:val="22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i/>
          <w:iCs/>
          <w:kern w:val="0"/>
        </w:rPr>
      </w:pP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Tämä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ohjeistus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liitetään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osaksi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poroteurastamon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omavalvontasuunnitelmaa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ja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asiaa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katsotaan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kokonaisuutena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Tämän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takia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tässä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ohjeessa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ei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ohjeisteta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sellaisia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asioita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mitä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on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ohjeistettu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omavalvonsuunnitelmassa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kuten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ulkomaan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matkat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vierailijat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teurastamossa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yms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  <w:sz w:val="22"/>
          <w:szCs w:val="22"/>
        </w:rPr>
        <w:t>.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i/>
          <w:iCs/>
          <w:kern w:val="0"/>
        </w:rPr>
      </w:pP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i/>
          <w:iCs/>
          <w:kern w:val="0"/>
        </w:rPr>
      </w:pP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i/>
          <w:iCs/>
          <w:kern w:val="0"/>
        </w:rPr>
      </w:pPr>
      <w:proofErr w:type="spellStart"/>
      <w:r>
        <w:rPr>
          <w:rFonts w:ascii="TimesNewRomanPSMT" w:eastAsia="TimesNewRomanPSMT" w:hAnsi="TimesNewRomanPSMT" w:cs="TimesNewRomanPSMT"/>
          <w:i/>
          <w:iCs/>
          <w:kern w:val="0"/>
        </w:rPr>
        <w:t>Eläintautiluettelo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</w:rPr>
        <w:t>löytyy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</w:rPr>
        <w:t>alla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</w:rPr>
        <w:t>olevan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</w:rPr>
        <w:t>Eviran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</w:rPr>
        <w:t>linkin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i/>
          <w:iCs/>
          <w:kern w:val="0"/>
        </w:rPr>
        <w:t>takaa</w:t>
      </w:r>
      <w:proofErr w:type="spellEnd"/>
      <w:r>
        <w:rPr>
          <w:rFonts w:ascii="TimesNewRomanPSMT" w:eastAsia="TimesNewRomanPSMT" w:hAnsi="TimesNewRomanPSMT" w:cs="TimesNewRomanPSMT"/>
          <w:i/>
          <w:iCs/>
          <w:kern w:val="0"/>
        </w:rPr>
        <w:t>:</w:t>
      </w:r>
    </w:p>
    <w:p w:rsidR="009D3FD2" w:rsidRDefault="00F64BB0">
      <w:pPr>
        <w:pStyle w:val="Oletus"/>
        <w:rPr>
          <w:rFonts w:ascii="TimesNewRomanPSMT" w:eastAsia="TimesNewRomanPSMT" w:hAnsi="TimesNewRomanPSMT" w:cs="TimesNewRomanPSMT"/>
          <w:i/>
          <w:iCs/>
          <w:kern w:val="0"/>
        </w:rPr>
      </w:pPr>
      <w:r>
        <w:rPr>
          <w:rFonts w:ascii="TimesNewRomanPSMT" w:eastAsia="TimesNewRomanPSMT" w:hAnsi="TimesNewRomanPSMT" w:cs="TimesNewRomanPSMT"/>
          <w:i/>
          <w:iCs/>
          <w:kern w:val="0"/>
        </w:rPr>
        <w:t>http://www.evira.fi/portal/fi/elaimet/elainten+terveys+ja+elaintaudit/elaintautien+vastustaminen+ja+valvonta/elaintautien+luokittelu/</w:t>
      </w: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i/>
          <w:iCs/>
          <w:kern w:val="0"/>
        </w:rPr>
      </w:pPr>
    </w:p>
    <w:p w:rsidR="009D3FD2" w:rsidRDefault="009D3FD2">
      <w:pPr>
        <w:pStyle w:val="Oletus"/>
        <w:rPr>
          <w:rFonts w:ascii="TimesNewRomanPSMT" w:eastAsia="TimesNewRomanPSMT" w:hAnsi="TimesNewRomanPSMT" w:cs="TimesNewRomanPSMT"/>
          <w:i/>
          <w:iCs/>
          <w:kern w:val="0"/>
        </w:rPr>
      </w:pPr>
    </w:p>
    <w:p w:rsidR="009D3FD2" w:rsidRDefault="009D3FD2">
      <w:pPr>
        <w:pStyle w:val="Oletus"/>
      </w:pPr>
    </w:p>
    <w:sectPr w:rsidR="009D3FD2"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F9" w:rsidRDefault="00745EF9">
      <w:r>
        <w:separator/>
      </w:r>
    </w:p>
  </w:endnote>
  <w:endnote w:type="continuationSeparator" w:id="0">
    <w:p w:rsidR="00745EF9" w:rsidRDefault="0074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F9" w:rsidRDefault="00745EF9">
      <w:r>
        <w:separator/>
      </w:r>
    </w:p>
  </w:footnote>
  <w:footnote w:type="continuationSeparator" w:id="0">
    <w:p w:rsidR="00745EF9" w:rsidRDefault="0074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2B0"/>
    <w:multiLevelType w:val="multilevel"/>
    <w:tmpl w:val="981C158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2AFC4C4E"/>
    <w:multiLevelType w:val="multilevel"/>
    <w:tmpl w:val="3FBC85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E727B07"/>
    <w:multiLevelType w:val="multilevel"/>
    <w:tmpl w:val="29B8C4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01C38BE"/>
    <w:multiLevelType w:val="multilevel"/>
    <w:tmpl w:val="310296CA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B65104"/>
    <w:multiLevelType w:val="multilevel"/>
    <w:tmpl w:val="84D8E2EA"/>
    <w:styleLink w:val="Luettelo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3132853"/>
    <w:multiLevelType w:val="multilevel"/>
    <w:tmpl w:val="57E8EC9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0FC3271"/>
    <w:multiLevelType w:val="multilevel"/>
    <w:tmpl w:val="A74C8E6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76A037CA"/>
    <w:multiLevelType w:val="multilevel"/>
    <w:tmpl w:val="166801F4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TimesNewRomanPSMT" w:eastAsia="TimesNewRomanPSMT" w:hAnsi="TimesNewRomanPSMT" w:cs="TimesNewRomanPSMT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D2"/>
    <w:rsid w:val="00455686"/>
    <w:rsid w:val="00480B06"/>
    <w:rsid w:val="004E7D3B"/>
    <w:rsid w:val="00745EF9"/>
    <w:rsid w:val="00774A14"/>
    <w:rsid w:val="009D3FD2"/>
    <w:rsid w:val="00C93EAB"/>
    <w:rsid w:val="00EB6704"/>
    <w:rsid w:val="00F64BB0"/>
    <w:rsid w:val="00F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5D93"/>
  <w15:docId w15:val="{C5FB77BD-2D77-413D-9D90-F94D718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Oletus">
    <w:name w:val="Oletus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es-ES_tradnl"/>
    </w:rPr>
  </w:style>
  <w:style w:type="numbering" w:customStyle="1" w:styleId="List0">
    <w:name w:val="List 0"/>
    <w:basedOn w:val="Tuotutyyli1"/>
    <w:pPr>
      <w:numPr>
        <w:numId w:val="3"/>
      </w:numPr>
    </w:pPr>
  </w:style>
  <w:style w:type="numbering" w:customStyle="1" w:styleId="Tuotutyyli1">
    <w:name w:val="Tuotu tyyli: 1"/>
  </w:style>
  <w:style w:type="numbering" w:customStyle="1" w:styleId="List1">
    <w:name w:val="List 1"/>
    <w:basedOn w:val="Tuotutyyli2"/>
    <w:pPr>
      <w:numPr>
        <w:numId w:val="6"/>
      </w:numPr>
    </w:pPr>
  </w:style>
  <w:style w:type="numbering" w:customStyle="1" w:styleId="Tuotutyyli2">
    <w:name w:val="Tuotu tyyli: 2"/>
  </w:style>
  <w:style w:type="numbering" w:customStyle="1" w:styleId="Luettelo21">
    <w:name w:val="Luettelo 21"/>
    <w:basedOn w:val="Tuotutyyli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7572</Characters>
  <Application>Microsoft Office Word</Application>
  <DocSecurity>0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Olkkonen</dc:creator>
  <cp:lastModifiedBy>Ronkainen Mari</cp:lastModifiedBy>
  <cp:revision>3</cp:revision>
  <dcterms:created xsi:type="dcterms:W3CDTF">2021-05-31T12:08:00Z</dcterms:created>
  <dcterms:modified xsi:type="dcterms:W3CDTF">2021-07-02T10:15:00Z</dcterms:modified>
</cp:coreProperties>
</file>